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9B17" w14:textId="3A5F71F3" w:rsidR="0068129C" w:rsidRPr="0068129C" w:rsidRDefault="0068129C" w:rsidP="0068129C">
      <w:pPr>
        <w:spacing w:after="0" w:line="240" w:lineRule="auto"/>
        <w:textAlignment w:val="baseline"/>
        <w:rPr>
          <w:rFonts w:ascii="Segoe UI" w:eastAsia="Times New Roman" w:hAnsi="Segoe UI" w:cs="Segoe UI"/>
          <w:kern w:val="0"/>
          <w:sz w:val="18"/>
          <w:szCs w:val="18"/>
          <w:lang w:eastAsia="en-GB"/>
          <w14:ligatures w14:val="none"/>
        </w:rPr>
      </w:pPr>
      <w:r w:rsidRPr="0068129C">
        <w:rPr>
          <w:rFonts w:ascii="Aptos" w:eastAsia="Times New Roman" w:hAnsi="Aptos" w:cs="Segoe UI"/>
          <w:b/>
          <w:bCs/>
          <w:color w:val="EE0000"/>
          <w:kern w:val="0"/>
          <w:lang w:eastAsia="en-GB"/>
          <w14:ligatures w14:val="none"/>
        </w:rPr>
        <w:t xml:space="preserve">EXAMPLE: </w:t>
      </w:r>
      <w:r w:rsidRPr="0068129C">
        <w:rPr>
          <w:rFonts w:ascii="Aptos" w:eastAsia="Times New Roman" w:hAnsi="Aptos" w:cs="Segoe UI"/>
          <w:b/>
          <w:bCs/>
          <w:kern w:val="0"/>
          <w:lang w:eastAsia="en-GB"/>
          <w14:ligatures w14:val="none"/>
        </w:rPr>
        <w:t>Youth clubs to tackle loneliness and improve life skills – LASER Foundation</w:t>
      </w:r>
      <w:r w:rsidRPr="0068129C">
        <w:rPr>
          <w:rFonts w:ascii="Aptos" w:eastAsia="Times New Roman" w:hAnsi="Aptos" w:cs="Segoe U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2"/>
        <w:gridCol w:w="2647"/>
        <w:gridCol w:w="4480"/>
        <w:gridCol w:w="3079"/>
        <w:gridCol w:w="2834"/>
      </w:tblGrid>
      <w:tr w:rsidR="0068129C" w:rsidRPr="0068129C" w14:paraId="2F9098BF" w14:textId="77777777">
        <w:trPr>
          <w:trHeight w:val="300"/>
        </w:trPr>
        <w:tc>
          <w:tcPr>
            <w:tcW w:w="2370" w:type="dxa"/>
            <w:tcBorders>
              <w:top w:val="single" w:sz="6" w:space="0" w:color="auto"/>
              <w:left w:val="single" w:sz="6" w:space="0" w:color="auto"/>
              <w:bottom w:val="single" w:sz="6" w:space="0" w:color="auto"/>
              <w:right w:val="single" w:sz="6" w:space="0" w:color="auto"/>
            </w:tcBorders>
            <w:vAlign w:val="center"/>
            <w:hideMark/>
          </w:tcPr>
          <w:p w14:paraId="70A7C740"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b/>
                <w:bCs/>
                <w:kern w:val="0"/>
                <w:lang w:eastAsia="en-GB"/>
                <w14:ligatures w14:val="none"/>
              </w:rPr>
              <w:t>Problem (why?)</w:t>
            </w:r>
            <w:r w:rsidRPr="0068129C">
              <w:rPr>
                <w:rFonts w:ascii="Aptos" w:eastAsia="Times New Roman" w:hAnsi="Aptos" w:cs="Times New Roman"/>
                <w:kern w:val="0"/>
                <w:lang w:eastAsia="en-GB"/>
                <w14:ligatures w14:val="none"/>
              </w:rPr>
              <w:t> </w:t>
            </w:r>
          </w:p>
        </w:tc>
        <w:tc>
          <w:tcPr>
            <w:tcW w:w="2685" w:type="dxa"/>
            <w:tcBorders>
              <w:top w:val="single" w:sz="6" w:space="0" w:color="auto"/>
              <w:left w:val="single" w:sz="6" w:space="0" w:color="auto"/>
              <w:bottom w:val="single" w:sz="6" w:space="0" w:color="auto"/>
              <w:right w:val="single" w:sz="6" w:space="0" w:color="auto"/>
            </w:tcBorders>
            <w:vAlign w:val="center"/>
            <w:hideMark/>
          </w:tcPr>
          <w:p w14:paraId="6F93D2DD"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b/>
                <w:bCs/>
                <w:kern w:val="0"/>
                <w:lang w:eastAsia="en-GB"/>
                <w14:ligatures w14:val="none"/>
              </w:rPr>
              <w:t>Intervention description (what?)</w:t>
            </w:r>
            <w:r w:rsidRPr="0068129C">
              <w:rPr>
                <w:rFonts w:ascii="Aptos" w:eastAsia="Times New Roman" w:hAnsi="Aptos" w:cs="Times New Roman"/>
                <w:kern w:val="0"/>
                <w:lang w:eastAsia="en-GB"/>
                <w14:ligatures w14:val="none"/>
              </w:rPr>
              <w:t>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150D68CA"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b/>
                <w:bCs/>
                <w:kern w:val="0"/>
                <w:lang w:eastAsia="en-GB"/>
                <w14:ligatures w14:val="none"/>
              </w:rPr>
              <w:t>Implementation activities (how?)</w:t>
            </w:r>
            <w:r w:rsidRPr="0068129C">
              <w:rPr>
                <w:rFonts w:ascii="Aptos" w:eastAsia="Times New Roman" w:hAnsi="Aptos" w:cs="Times New Roman"/>
                <w:kern w:val="0"/>
                <w:lang w:eastAsia="en-GB"/>
                <w14:ligatures w14:val="none"/>
              </w:rPr>
              <w:t> </w:t>
            </w:r>
          </w:p>
        </w:tc>
        <w:tc>
          <w:tcPr>
            <w:tcW w:w="3105" w:type="dxa"/>
            <w:tcBorders>
              <w:top w:val="single" w:sz="6" w:space="0" w:color="auto"/>
              <w:left w:val="single" w:sz="6" w:space="0" w:color="auto"/>
              <w:bottom w:val="single" w:sz="6" w:space="0" w:color="auto"/>
              <w:right w:val="single" w:sz="6" w:space="0" w:color="auto"/>
            </w:tcBorders>
            <w:vAlign w:val="center"/>
            <w:hideMark/>
          </w:tcPr>
          <w:p w14:paraId="3E79D4A4"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b/>
                <w:bCs/>
                <w:kern w:val="0"/>
                <w:lang w:eastAsia="en-GB"/>
                <w14:ligatures w14:val="none"/>
              </w:rPr>
              <w:t>Implementation outcomes (how well?)</w:t>
            </w:r>
            <w:r w:rsidRPr="0068129C">
              <w:rPr>
                <w:rFonts w:ascii="Aptos" w:eastAsia="Times New Roman" w:hAnsi="Aptos" w:cs="Times New Roman"/>
                <w:kern w:val="0"/>
                <w:lang w:eastAsia="en-GB"/>
                <w14:ligatures w14:val="none"/>
              </w:rPr>
              <w:t> </w:t>
            </w:r>
          </w:p>
        </w:tc>
        <w:tc>
          <w:tcPr>
            <w:tcW w:w="2880" w:type="dxa"/>
            <w:tcBorders>
              <w:top w:val="single" w:sz="6" w:space="0" w:color="auto"/>
              <w:left w:val="single" w:sz="6" w:space="0" w:color="auto"/>
              <w:bottom w:val="single" w:sz="6" w:space="0" w:color="auto"/>
              <w:right w:val="single" w:sz="6" w:space="0" w:color="auto"/>
            </w:tcBorders>
            <w:vAlign w:val="center"/>
            <w:hideMark/>
          </w:tcPr>
          <w:p w14:paraId="62DF6773"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b/>
                <w:bCs/>
                <w:kern w:val="0"/>
                <w:lang w:eastAsia="en-GB"/>
                <w14:ligatures w14:val="none"/>
              </w:rPr>
              <w:t>Final outcomes (and so?)</w:t>
            </w:r>
            <w:r w:rsidRPr="0068129C">
              <w:rPr>
                <w:rFonts w:ascii="Aptos" w:eastAsia="Times New Roman" w:hAnsi="Aptos" w:cs="Times New Roman"/>
                <w:kern w:val="0"/>
                <w:lang w:eastAsia="en-GB"/>
                <w14:ligatures w14:val="none"/>
              </w:rPr>
              <w:t> </w:t>
            </w:r>
          </w:p>
        </w:tc>
      </w:tr>
      <w:tr w:rsidR="0068129C" w:rsidRPr="0068129C" w14:paraId="61751E49"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940956D"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Many of our students experience loneliness, with many of them reporting lacking the social skills and opportunities to establish and maintain meaningful friendships. </w:t>
            </w:r>
          </w:p>
          <w:p w14:paraId="1DB15FB9"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38B20FFA"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For learners who are LGBTQ+, non-binary, or have SEND making friends and finding communities to belong can be particularly challenging. </w:t>
            </w:r>
          </w:p>
          <w:p w14:paraId="221BC682"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1E9B3728"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Additional to social skills, learners reported that they do not have a healthy diet and lack key independent living skills </w:t>
            </w:r>
          </w:p>
        </w:tc>
        <w:tc>
          <w:tcPr>
            <w:tcW w:w="2685" w:type="dxa"/>
            <w:tcBorders>
              <w:top w:val="single" w:sz="6" w:space="0" w:color="auto"/>
              <w:left w:val="single" w:sz="6" w:space="0" w:color="auto"/>
              <w:bottom w:val="single" w:sz="6" w:space="0" w:color="auto"/>
              <w:right w:val="single" w:sz="6" w:space="0" w:color="auto"/>
            </w:tcBorders>
            <w:hideMark/>
          </w:tcPr>
          <w:p w14:paraId="439FA969"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Facilitate student clubs that tackle multiple learner needs at the same time, by providing inclusive spaces for building social connections while developing social and independent living skills.  </w:t>
            </w:r>
          </w:p>
          <w:p w14:paraId="5F32FD9B"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423802B1"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Two initial themes: </w:t>
            </w:r>
          </w:p>
          <w:p w14:paraId="79CC22E7" w14:textId="77777777" w:rsidR="0068129C" w:rsidRPr="0068129C" w:rsidRDefault="0068129C" w:rsidP="0068129C">
            <w:pPr>
              <w:spacing w:after="0" w:line="240" w:lineRule="auto"/>
              <w:textAlignment w:val="baseline"/>
              <w:rPr>
                <w:rFonts w:ascii="Aptos" w:eastAsia="Times New Roman" w:hAnsi="Aptos" w:cs="Times New Roman"/>
                <w:kern w:val="0"/>
                <w:lang w:eastAsia="en-GB"/>
                <w14:ligatures w14:val="none"/>
              </w:rPr>
            </w:pPr>
            <w:r w:rsidRPr="0068129C">
              <w:rPr>
                <w:rFonts w:ascii="Aptos" w:eastAsia="Times New Roman" w:hAnsi="Aptos" w:cs="Times New Roman"/>
                <w:b/>
                <w:bCs/>
                <w:kern w:val="0"/>
                <w:lang w:eastAsia="en-GB"/>
                <w14:ligatures w14:val="none"/>
              </w:rPr>
              <w:t>Boardgames club</w:t>
            </w:r>
            <w:r w:rsidRPr="0068129C">
              <w:rPr>
                <w:rFonts w:ascii="Aptos" w:eastAsia="Times New Roman" w:hAnsi="Aptos" w:cs="Times New Roman"/>
                <w:kern w:val="0"/>
                <w:lang w:eastAsia="en-GB"/>
                <w14:ligatures w14:val="none"/>
              </w:rPr>
              <w:t xml:space="preserve"> targeted at learners that find it more difficult to meet people and make friends  </w:t>
            </w:r>
          </w:p>
          <w:p w14:paraId="2763F99F" w14:textId="77777777" w:rsidR="0068129C" w:rsidRPr="0068129C" w:rsidRDefault="0068129C" w:rsidP="0068129C">
            <w:pPr>
              <w:spacing w:after="0" w:line="240" w:lineRule="auto"/>
              <w:textAlignment w:val="baseline"/>
              <w:rPr>
                <w:rFonts w:ascii="Aptos" w:eastAsia="Times New Roman" w:hAnsi="Aptos" w:cs="Times New Roman"/>
                <w:kern w:val="0"/>
                <w:lang w:eastAsia="en-GB"/>
                <w14:ligatures w14:val="none"/>
              </w:rPr>
            </w:pPr>
            <w:r w:rsidRPr="0068129C">
              <w:rPr>
                <w:rFonts w:ascii="Aptos" w:eastAsia="Times New Roman" w:hAnsi="Aptos" w:cs="Times New Roman"/>
                <w:b/>
                <w:bCs/>
                <w:kern w:val="0"/>
                <w:lang w:eastAsia="en-GB"/>
                <w14:ligatures w14:val="none"/>
              </w:rPr>
              <w:t>Cooking club</w:t>
            </w:r>
            <w:r w:rsidRPr="0068129C">
              <w:rPr>
                <w:rFonts w:ascii="Aptos" w:eastAsia="Times New Roman" w:hAnsi="Aptos" w:cs="Times New Roman"/>
                <w:kern w:val="0"/>
                <w:lang w:eastAsia="en-GB"/>
                <w14:ligatures w14:val="none"/>
              </w:rPr>
              <w:t xml:space="preserve"> that educates students on healthy diet options that are budget friendly and teaching them how to prepare them </w:t>
            </w:r>
          </w:p>
        </w:tc>
        <w:tc>
          <w:tcPr>
            <w:tcW w:w="4530" w:type="dxa"/>
            <w:tcBorders>
              <w:top w:val="single" w:sz="6" w:space="0" w:color="auto"/>
              <w:left w:val="single" w:sz="6" w:space="0" w:color="auto"/>
              <w:bottom w:val="single" w:sz="6" w:space="0" w:color="auto"/>
              <w:right w:val="single" w:sz="6" w:space="0" w:color="auto"/>
            </w:tcBorders>
            <w:hideMark/>
          </w:tcPr>
          <w:p w14:paraId="416C0C6C"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u w:val="single"/>
                <w:lang w:eastAsia="en-GB"/>
                <w14:ligatures w14:val="none"/>
              </w:rPr>
              <w:t>Space:</w:t>
            </w:r>
            <w:r w:rsidRPr="0068129C">
              <w:rPr>
                <w:rFonts w:ascii="Aptos" w:eastAsia="Times New Roman" w:hAnsi="Aptos" w:cs="Times New Roman"/>
                <w:kern w:val="0"/>
                <w:lang w:eastAsia="en-GB"/>
                <w14:ligatures w14:val="none"/>
              </w:rPr>
              <w:t xml:space="preserve"> College and Trust facilities could be shared to expand the scope of participation. </w:t>
            </w:r>
          </w:p>
          <w:p w14:paraId="692565E5"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5AC2FA26"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u w:val="single"/>
                <w:lang w:eastAsia="en-GB"/>
                <w14:ligatures w14:val="none"/>
              </w:rPr>
              <w:t>Targeted recruitment:</w:t>
            </w:r>
            <w:r w:rsidRPr="0068129C">
              <w:rPr>
                <w:rFonts w:ascii="Aptos" w:eastAsia="Times New Roman" w:hAnsi="Aptos" w:cs="Times New Roman"/>
                <w:kern w:val="0"/>
                <w:lang w:eastAsia="en-GB"/>
                <w14:ligatures w14:val="none"/>
              </w:rPr>
              <w:t xml:space="preserve"> Self-selection means that clubs may attract more extroverted learners who often already have strong social skills and connections. Develop targeted invites for learners more at risk of exclusion and social isolation. Explicitly promote the clubs as inclusive spaces.  </w:t>
            </w:r>
          </w:p>
          <w:p w14:paraId="05037C98"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71CF7F33"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u w:val="single"/>
                <w:lang w:eastAsia="en-GB"/>
                <w14:ligatures w14:val="none"/>
              </w:rPr>
              <w:t>Train facilitators:</w:t>
            </w:r>
            <w:r w:rsidRPr="0068129C">
              <w:rPr>
                <w:rFonts w:ascii="Aptos" w:eastAsia="Times New Roman" w:hAnsi="Aptos" w:cs="Times New Roman"/>
                <w:kern w:val="0"/>
                <w:lang w:eastAsia="en-GB"/>
                <w14:ligatures w14:val="none"/>
              </w:rPr>
              <w:t xml:space="preserve"> members of staff could facilitate these clubs with the right support, training and resources to ensure that they can commit the time </w:t>
            </w:r>
            <w:proofErr w:type="gramStart"/>
            <w:r w:rsidRPr="0068129C">
              <w:rPr>
                <w:rFonts w:ascii="Aptos" w:eastAsia="Times New Roman" w:hAnsi="Aptos" w:cs="Times New Roman"/>
                <w:kern w:val="0"/>
                <w:lang w:eastAsia="en-GB"/>
                <w14:ligatures w14:val="none"/>
              </w:rPr>
              <w:t>and also</w:t>
            </w:r>
            <w:proofErr w:type="gramEnd"/>
            <w:r w:rsidRPr="0068129C">
              <w:rPr>
                <w:rFonts w:ascii="Aptos" w:eastAsia="Times New Roman" w:hAnsi="Aptos" w:cs="Times New Roman"/>
                <w:kern w:val="0"/>
                <w:lang w:eastAsia="en-GB"/>
                <w14:ligatures w14:val="none"/>
              </w:rPr>
              <w:t xml:space="preserve"> the desired content on transferable social and independent living skills is delivered, such as: </w:t>
            </w:r>
          </w:p>
          <w:p w14:paraId="404FB945"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Boardgames: </w:t>
            </w:r>
          </w:p>
          <w:p w14:paraId="4D835BB7" w14:textId="77777777" w:rsidR="0068129C" w:rsidRPr="0068129C" w:rsidRDefault="0068129C" w:rsidP="0068129C">
            <w:pPr>
              <w:numPr>
                <w:ilvl w:val="0"/>
                <w:numId w:val="3"/>
              </w:numPr>
              <w:spacing w:after="0" w:line="240" w:lineRule="auto"/>
              <w:ind w:left="825" w:firstLine="0"/>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Teamwork and conflict resolution </w:t>
            </w:r>
          </w:p>
          <w:p w14:paraId="4362588B" w14:textId="77777777" w:rsidR="0068129C" w:rsidRPr="0068129C" w:rsidRDefault="0068129C" w:rsidP="0068129C">
            <w:pPr>
              <w:numPr>
                <w:ilvl w:val="0"/>
                <w:numId w:val="4"/>
              </w:numPr>
              <w:spacing w:after="0" w:line="240" w:lineRule="auto"/>
              <w:ind w:left="825" w:firstLine="0"/>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Resilience and emotional regulation </w:t>
            </w:r>
          </w:p>
          <w:p w14:paraId="2EEB96E7" w14:textId="77777777" w:rsidR="0068129C" w:rsidRPr="0068129C" w:rsidRDefault="0068129C" w:rsidP="0068129C">
            <w:pPr>
              <w:numPr>
                <w:ilvl w:val="0"/>
                <w:numId w:val="5"/>
              </w:numPr>
              <w:spacing w:after="0" w:line="240" w:lineRule="auto"/>
              <w:ind w:left="825" w:firstLine="0"/>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Social interaction and empathy </w:t>
            </w:r>
          </w:p>
          <w:p w14:paraId="1F08DD8F"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Cooking club: </w:t>
            </w:r>
          </w:p>
          <w:p w14:paraId="32286EEC" w14:textId="77777777" w:rsidR="0068129C" w:rsidRPr="0068129C" w:rsidRDefault="0068129C" w:rsidP="0068129C">
            <w:pPr>
              <w:numPr>
                <w:ilvl w:val="0"/>
                <w:numId w:val="6"/>
              </w:numPr>
              <w:spacing w:after="0" w:line="240" w:lineRule="auto"/>
              <w:ind w:left="825" w:firstLine="0"/>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What constitutes a healthy diet </w:t>
            </w:r>
          </w:p>
          <w:p w14:paraId="54342182" w14:textId="77777777" w:rsidR="0068129C" w:rsidRPr="0068129C" w:rsidRDefault="0068129C" w:rsidP="0068129C">
            <w:pPr>
              <w:numPr>
                <w:ilvl w:val="0"/>
                <w:numId w:val="7"/>
              </w:numPr>
              <w:spacing w:after="0" w:line="240" w:lineRule="auto"/>
              <w:ind w:left="825" w:firstLine="0"/>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How to budget a meal </w:t>
            </w:r>
          </w:p>
          <w:p w14:paraId="6EF666E5" w14:textId="77777777" w:rsidR="0068129C" w:rsidRPr="0068129C" w:rsidRDefault="0068129C" w:rsidP="0068129C">
            <w:pPr>
              <w:numPr>
                <w:ilvl w:val="0"/>
                <w:numId w:val="8"/>
              </w:numPr>
              <w:spacing w:after="0" w:line="240" w:lineRule="auto"/>
              <w:ind w:left="825" w:firstLine="0"/>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Cooking skills </w:t>
            </w:r>
          </w:p>
          <w:p w14:paraId="7DD643E4"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1FF786D4"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Resources:  </w:t>
            </w:r>
          </w:p>
          <w:p w14:paraId="75FC3660" w14:textId="77777777" w:rsidR="0068129C" w:rsidRPr="0068129C" w:rsidRDefault="0068129C" w:rsidP="0068129C">
            <w:pPr>
              <w:numPr>
                <w:ilvl w:val="0"/>
                <w:numId w:val="9"/>
              </w:numPr>
              <w:spacing w:after="0" w:line="240" w:lineRule="auto"/>
              <w:ind w:left="1080" w:firstLine="0"/>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Boardgames club: range of games  </w:t>
            </w:r>
          </w:p>
          <w:p w14:paraId="67BEE607" w14:textId="77777777" w:rsidR="0068129C" w:rsidRPr="0068129C" w:rsidRDefault="0068129C" w:rsidP="0068129C">
            <w:pPr>
              <w:numPr>
                <w:ilvl w:val="0"/>
                <w:numId w:val="10"/>
              </w:numPr>
              <w:spacing w:after="0" w:line="240" w:lineRule="auto"/>
              <w:ind w:left="1080" w:firstLine="0"/>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Cooking club: ingredients and cooking facilities. </w:t>
            </w:r>
          </w:p>
        </w:tc>
        <w:tc>
          <w:tcPr>
            <w:tcW w:w="3105" w:type="dxa"/>
            <w:tcBorders>
              <w:top w:val="single" w:sz="6" w:space="0" w:color="auto"/>
              <w:left w:val="single" w:sz="6" w:space="0" w:color="auto"/>
              <w:bottom w:val="single" w:sz="6" w:space="0" w:color="auto"/>
              <w:right w:val="single" w:sz="6" w:space="0" w:color="auto"/>
            </w:tcBorders>
            <w:hideMark/>
          </w:tcPr>
          <w:p w14:paraId="218B7CC7"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Good satisfaction and retention rates in the clubs </w:t>
            </w:r>
          </w:p>
          <w:p w14:paraId="7F3E96C9"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1F2B9B93"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Learners meet other learners from across departments and can interact with them in a safe space </w:t>
            </w:r>
          </w:p>
          <w:p w14:paraId="66FC284C"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72A2D9E7"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Learners are exposed to activities that require them to communicate, collaborate and negotiate and with their peers to achieve a common goal </w:t>
            </w:r>
          </w:p>
          <w:p w14:paraId="6C8E5B24"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2C4B6765"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Additionally, for the cooking club: </w:t>
            </w:r>
          </w:p>
          <w:p w14:paraId="63CA5625" w14:textId="77777777" w:rsidR="0068129C" w:rsidRPr="0068129C" w:rsidRDefault="0068129C" w:rsidP="0068129C">
            <w:pPr>
              <w:pStyle w:val="ListParagraph"/>
              <w:numPr>
                <w:ilvl w:val="0"/>
                <w:numId w:val="15"/>
              </w:numPr>
              <w:spacing w:after="0" w:line="240" w:lineRule="auto"/>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Increased awareness about the importance of a healthy diet </w:t>
            </w:r>
          </w:p>
          <w:p w14:paraId="6457BC14" w14:textId="77777777" w:rsidR="0068129C" w:rsidRPr="0068129C" w:rsidRDefault="0068129C" w:rsidP="0068129C">
            <w:pPr>
              <w:pStyle w:val="ListParagraph"/>
              <w:numPr>
                <w:ilvl w:val="0"/>
                <w:numId w:val="15"/>
              </w:numPr>
              <w:spacing w:after="0" w:line="240" w:lineRule="auto"/>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 xml:space="preserve">Participants </w:t>
            </w:r>
            <w:proofErr w:type="gramStart"/>
            <w:r w:rsidRPr="0068129C">
              <w:rPr>
                <w:rFonts w:ascii="Aptos" w:eastAsia="Times New Roman" w:hAnsi="Aptos" w:cs="Times New Roman"/>
                <w:kern w:val="0"/>
                <w:lang w:eastAsia="en-GB"/>
                <w14:ligatures w14:val="none"/>
              </w:rPr>
              <w:t>are able to</w:t>
            </w:r>
            <w:proofErr w:type="gramEnd"/>
            <w:r w:rsidRPr="0068129C">
              <w:rPr>
                <w:rFonts w:ascii="Aptos" w:eastAsia="Times New Roman" w:hAnsi="Aptos" w:cs="Times New Roman"/>
                <w:kern w:val="0"/>
                <w:lang w:eastAsia="en-GB"/>
                <w14:ligatures w14:val="none"/>
              </w:rPr>
              <w:t xml:space="preserve"> cook food independently </w:t>
            </w:r>
          </w:p>
          <w:p w14:paraId="14D74806" w14:textId="02741A32" w:rsidR="0068129C" w:rsidRPr="0068129C" w:rsidRDefault="0068129C" w:rsidP="0068129C">
            <w:pPr>
              <w:pStyle w:val="ListParagraph"/>
              <w:numPr>
                <w:ilvl w:val="0"/>
                <w:numId w:val="15"/>
              </w:numPr>
              <w:spacing w:after="0" w:line="240" w:lineRule="auto"/>
              <w:textAlignment w:val="baseline"/>
              <w:rPr>
                <w:rFonts w:ascii="Aptos" w:eastAsia="Times New Roman" w:hAnsi="Aptos" w:cs="Times New Roman"/>
                <w:kern w:val="0"/>
                <w:lang w:eastAsia="en-GB"/>
                <w14:ligatures w14:val="none"/>
              </w:rPr>
            </w:pPr>
            <w:r w:rsidRPr="0068129C">
              <w:rPr>
                <w:rFonts w:ascii="Aptos" w:eastAsia="Times New Roman" w:hAnsi="Aptos" w:cs="Times New Roman"/>
                <w:kern w:val="0"/>
                <w:lang w:eastAsia="en-GB"/>
                <w14:ligatures w14:val="none"/>
              </w:rPr>
              <w:t>Participants learn to budget </w:t>
            </w:r>
          </w:p>
          <w:p w14:paraId="21F2D237"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tc>
        <w:tc>
          <w:tcPr>
            <w:tcW w:w="2880" w:type="dxa"/>
            <w:tcBorders>
              <w:top w:val="single" w:sz="6" w:space="0" w:color="auto"/>
              <w:left w:val="single" w:sz="6" w:space="0" w:color="auto"/>
              <w:bottom w:val="single" w:sz="6" w:space="0" w:color="auto"/>
              <w:right w:val="single" w:sz="6" w:space="0" w:color="auto"/>
            </w:tcBorders>
            <w:hideMark/>
          </w:tcPr>
          <w:p w14:paraId="7B775F1E"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2D890B9E"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7D8F80D7"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054EAD26"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New friendships and decreased feelings of loneliness – could improve college attendance </w:t>
            </w:r>
          </w:p>
          <w:p w14:paraId="365533CB"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7DB0B3EE"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Improved social skills, resilience and self-esteem </w:t>
            </w:r>
          </w:p>
          <w:p w14:paraId="7EF3B2B5"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661BD6B1"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550837C4"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37503085"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1A6241C0"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 </w:t>
            </w:r>
          </w:p>
          <w:p w14:paraId="468117A6" w14:textId="77777777" w:rsidR="0068129C" w:rsidRPr="0068129C" w:rsidRDefault="0068129C" w:rsidP="0068129C">
            <w:pPr>
              <w:spacing w:after="0" w:line="240" w:lineRule="auto"/>
              <w:textAlignment w:val="baseline"/>
              <w:rPr>
                <w:rFonts w:ascii="Times New Roman" w:eastAsia="Times New Roman" w:hAnsi="Times New Roman" w:cs="Times New Roman"/>
                <w:kern w:val="0"/>
                <w:sz w:val="24"/>
                <w:szCs w:val="24"/>
                <w:lang w:eastAsia="en-GB"/>
                <w14:ligatures w14:val="none"/>
              </w:rPr>
            </w:pPr>
            <w:r w:rsidRPr="0068129C">
              <w:rPr>
                <w:rFonts w:ascii="Aptos" w:eastAsia="Times New Roman" w:hAnsi="Aptos" w:cs="Times New Roman"/>
                <w:kern w:val="0"/>
                <w:lang w:eastAsia="en-GB"/>
                <w14:ligatures w14:val="none"/>
              </w:rPr>
              <w:t>Participants have an increase ability and confidence to cook a healthy meal on budget  </w:t>
            </w:r>
          </w:p>
        </w:tc>
      </w:tr>
    </w:tbl>
    <w:p w14:paraId="00370180" w14:textId="77777777" w:rsidR="004D2E2F" w:rsidRDefault="004D2E2F"/>
    <w:sectPr w:rsidR="004D2E2F" w:rsidSect="0068129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812"/>
    <w:multiLevelType w:val="multilevel"/>
    <w:tmpl w:val="493E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22B2E"/>
    <w:multiLevelType w:val="multilevel"/>
    <w:tmpl w:val="6F5EF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028D3"/>
    <w:multiLevelType w:val="multilevel"/>
    <w:tmpl w:val="DF78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F5AC0"/>
    <w:multiLevelType w:val="multilevel"/>
    <w:tmpl w:val="660E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D6B41"/>
    <w:multiLevelType w:val="multilevel"/>
    <w:tmpl w:val="CB00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F5600"/>
    <w:multiLevelType w:val="multilevel"/>
    <w:tmpl w:val="1758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F1D32"/>
    <w:multiLevelType w:val="multilevel"/>
    <w:tmpl w:val="884A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243F1"/>
    <w:multiLevelType w:val="hybridMultilevel"/>
    <w:tmpl w:val="538E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84F82"/>
    <w:multiLevelType w:val="hybridMultilevel"/>
    <w:tmpl w:val="7240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E900E4"/>
    <w:multiLevelType w:val="multilevel"/>
    <w:tmpl w:val="94B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DF1B53"/>
    <w:multiLevelType w:val="multilevel"/>
    <w:tmpl w:val="052CC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5D6703"/>
    <w:multiLevelType w:val="multilevel"/>
    <w:tmpl w:val="746C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497098"/>
    <w:multiLevelType w:val="multilevel"/>
    <w:tmpl w:val="9B9427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A30C20"/>
    <w:multiLevelType w:val="multilevel"/>
    <w:tmpl w:val="B73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0F30FB"/>
    <w:multiLevelType w:val="multilevel"/>
    <w:tmpl w:val="B06A8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461908">
    <w:abstractNumId w:val="10"/>
  </w:num>
  <w:num w:numId="2" w16cid:durableId="1146044950">
    <w:abstractNumId w:val="14"/>
  </w:num>
  <w:num w:numId="3" w16cid:durableId="1665010684">
    <w:abstractNumId w:val="2"/>
  </w:num>
  <w:num w:numId="4" w16cid:durableId="253972931">
    <w:abstractNumId w:val="0"/>
  </w:num>
  <w:num w:numId="5" w16cid:durableId="1465614204">
    <w:abstractNumId w:val="11"/>
  </w:num>
  <w:num w:numId="6" w16cid:durableId="904532532">
    <w:abstractNumId w:val="3"/>
  </w:num>
  <w:num w:numId="7" w16cid:durableId="307133031">
    <w:abstractNumId w:val="6"/>
  </w:num>
  <w:num w:numId="8" w16cid:durableId="669990402">
    <w:abstractNumId w:val="5"/>
  </w:num>
  <w:num w:numId="9" w16cid:durableId="687875250">
    <w:abstractNumId w:val="1"/>
  </w:num>
  <w:num w:numId="10" w16cid:durableId="1225683644">
    <w:abstractNumId w:val="12"/>
  </w:num>
  <w:num w:numId="11" w16cid:durableId="555431237">
    <w:abstractNumId w:val="13"/>
  </w:num>
  <w:num w:numId="12" w16cid:durableId="1933854027">
    <w:abstractNumId w:val="9"/>
  </w:num>
  <w:num w:numId="13" w16cid:durableId="1387602924">
    <w:abstractNumId w:val="4"/>
  </w:num>
  <w:num w:numId="14" w16cid:durableId="87191136">
    <w:abstractNumId w:val="7"/>
  </w:num>
  <w:num w:numId="15" w16cid:durableId="1717391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9C"/>
    <w:rsid w:val="004D2E2F"/>
    <w:rsid w:val="0068129C"/>
    <w:rsid w:val="006C0289"/>
    <w:rsid w:val="00A35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23F6"/>
  <w15:chartTrackingRefBased/>
  <w15:docId w15:val="{C7D3D6FB-555C-4D2D-924A-1417FF1B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2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2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2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2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2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2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2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2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29C"/>
    <w:rPr>
      <w:rFonts w:eastAsiaTheme="majorEastAsia" w:cstheme="majorBidi"/>
      <w:color w:val="272727" w:themeColor="text1" w:themeTint="D8"/>
    </w:rPr>
  </w:style>
  <w:style w:type="paragraph" w:styleId="Title">
    <w:name w:val="Title"/>
    <w:basedOn w:val="Normal"/>
    <w:next w:val="Normal"/>
    <w:link w:val="TitleChar"/>
    <w:uiPriority w:val="10"/>
    <w:qFormat/>
    <w:rsid w:val="00681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29C"/>
    <w:pPr>
      <w:spacing w:before="160"/>
      <w:jc w:val="center"/>
    </w:pPr>
    <w:rPr>
      <w:i/>
      <w:iCs/>
      <w:color w:val="404040" w:themeColor="text1" w:themeTint="BF"/>
    </w:rPr>
  </w:style>
  <w:style w:type="character" w:customStyle="1" w:styleId="QuoteChar">
    <w:name w:val="Quote Char"/>
    <w:basedOn w:val="DefaultParagraphFont"/>
    <w:link w:val="Quote"/>
    <w:uiPriority w:val="29"/>
    <w:rsid w:val="0068129C"/>
    <w:rPr>
      <w:i/>
      <w:iCs/>
      <w:color w:val="404040" w:themeColor="text1" w:themeTint="BF"/>
    </w:rPr>
  </w:style>
  <w:style w:type="paragraph" w:styleId="ListParagraph">
    <w:name w:val="List Paragraph"/>
    <w:basedOn w:val="Normal"/>
    <w:uiPriority w:val="34"/>
    <w:qFormat/>
    <w:rsid w:val="0068129C"/>
    <w:pPr>
      <w:ind w:left="720"/>
      <w:contextualSpacing/>
    </w:pPr>
  </w:style>
  <w:style w:type="character" w:styleId="IntenseEmphasis">
    <w:name w:val="Intense Emphasis"/>
    <w:basedOn w:val="DefaultParagraphFont"/>
    <w:uiPriority w:val="21"/>
    <w:qFormat/>
    <w:rsid w:val="0068129C"/>
    <w:rPr>
      <w:i/>
      <w:iCs/>
      <w:color w:val="2F5496" w:themeColor="accent1" w:themeShade="BF"/>
    </w:rPr>
  </w:style>
  <w:style w:type="paragraph" w:styleId="IntenseQuote">
    <w:name w:val="Intense Quote"/>
    <w:basedOn w:val="Normal"/>
    <w:next w:val="Normal"/>
    <w:link w:val="IntenseQuoteChar"/>
    <w:uiPriority w:val="30"/>
    <w:qFormat/>
    <w:rsid w:val="00681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29C"/>
    <w:rPr>
      <w:i/>
      <w:iCs/>
      <w:color w:val="2F5496" w:themeColor="accent1" w:themeShade="BF"/>
    </w:rPr>
  </w:style>
  <w:style w:type="character" w:styleId="IntenseReference">
    <w:name w:val="Intense Reference"/>
    <w:basedOn w:val="DefaultParagraphFont"/>
    <w:uiPriority w:val="32"/>
    <w:qFormat/>
    <w:rsid w:val="006812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Billingham-Smith</dc:creator>
  <cp:keywords/>
  <dc:description/>
  <cp:lastModifiedBy/>
  <cp:revision>1</cp:revision>
  <dcterms:created xsi:type="dcterms:W3CDTF">2025-10-16T06:45:00Z</dcterms:created>
</cp:coreProperties>
</file>